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Mô hình</w:t>
      </w:r>
      <w:r w:rsidRPr="00FA254E">
        <w:rPr>
          <w:b/>
          <w:bCs/>
          <w:noProof/>
          <w:sz w:val="24"/>
          <w:szCs w:val="24"/>
        </w:rPr>
        <w:t xml:space="preserve"> tài chính</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Financial Model</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FIB389</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này trang bị cho học viên những kiến thức lý thuyết nền tảng về thiết lập các mô hình tài chính hỗ trợ cho việc ra các quyết định tài chính. Cụ thể, Thiết lập mô hình tài chính doanh nghiệp, mô hình tuyến tính và phi tuyến, mô hình các phép tính tài chính cơ bản, mô hình quản lý danh mục đầu tư và tính toán danh mục đầu tư chứng khoán hiệu quả trong trường hợp có bán khống và không có bán khống…</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trang bị cho người học những cơ sở lý luận và thực tiễn về thiết lập các mô hình tài chính hỗ trợ cho việc ra các quyết định tài chính, Sau khi học xong học phần này người học có những kiến thức nền tảng về thiết lập các mô hình tài chính phục vụ cho việc ra các quyết định trong tài chính, có khả năng công tác tại các công ty tài chính, chứng khoán, các quỹ đầu tư, các công ty cổ phần và có khả năng hiểu, đánh giá, lựa chọn tham gia các hoạt động đầu tư tài chính một cách chủ động.</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các kiến thức đã học để xây dựng và thiết lập mô hình tài chính đối với các hoạt động tài chính;</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Xây dựng</w:t>
      </w:r>
      <w:r w:rsidRPr="00FA254E">
        <w:rPr>
          <w:noProof/>
          <w:sz w:val="24"/>
          <w:szCs w:val="24"/>
        </w:rPr>
        <w:t xml:space="preserve"> được mô hình bằng bảng tính, xác định các điều kiện ràng buộc và hàm mục tiêu khi lập mô hình tài chính;</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giá trị trung bình và phương sai của danh mục, tính toán tỷ suất sinh lợi kỳ vọng và phương sai của danh mục. Xác định danh mục đầu tư hiệu quả trường hợp 2 chứng khoán và n chứng khoán;</w:t>
      </w:r>
    </w:p>
    <w:p w:rsidR="002009F7" w:rsidRPr="00FA254E" w:rsidP="00841984">
      <w:pPr>
        <w:spacing w:before="120"/>
        <w:rPr>
          <w:color w:val="000000"/>
          <w:sz w:val="24"/>
          <w:szCs w:val="24"/>
        </w:rPr>
      </w:pP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các mô hình tối ưu trong việc giải quyết các bài toán về quản lý danh mục đầu tư;</w:t>
      </w:r>
    </w:p>
    <w:p w:rsidR="002009F7" w:rsidRPr="00FA254E" w:rsidP="00841984">
      <w:pPr>
        <w:spacing w:before="120"/>
        <w:rPr>
          <w:color w:val="000000"/>
          <w:sz w:val="24"/>
          <w:szCs w:val="24"/>
        </w:rPr>
      </w:pP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Sử dụng</w:t>
      </w:r>
      <w:r w:rsidRPr="00FA254E">
        <w:rPr>
          <w:noProof/>
          <w:sz w:val="24"/>
          <w:szCs w:val="24"/>
        </w:rPr>
        <w:t xml:space="preserve"> các công cụ Solver, Goalseek để giải bài toán tối ưu hóa tuyến tính và phi tuyến tính trong quản lý tài chính;</w:t>
      </w:r>
    </w:p>
    <w:p w:rsidR="002009F7" w:rsidRPr="00FA254E" w:rsidP="00841984" w14:textId="21599774">
      <w:pPr>
        <w:spacing w:before="120"/>
        <w:rPr>
          <w:color w:val="000000"/>
          <w:sz w:val="24"/>
          <w:szCs w:val="24"/>
        </w:rPr>
      </w:pPr>
      <w:r w:rsidRPr="00FA254E" w:rsidR="00841984">
        <w:rPr>
          <w:noProof/>
          <w:sz w:val="24"/>
          <w:szCs w:val="24"/>
        </w:rPr>
        <w:t>f</w:t>
      </w:r>
      <w:r w:rsidRPr="00FA254E" w:rsidR="00841984">
        <w:rPr>
          <w:rFonts w:eastAsia="Calibri"/>
          <w:sz w:val="24"/>
          <w:szCs w:val="24"/>
          <w:lang w:val="sv-SE"/>
        </w:rPr>
        <w:t xml:space="preserve">. </w:t>
      </w:r>
      <w:r w:rsidRPr="00FA254E" w:rsidR="00841984">
        <w:rPr>
          <w:noProof/>
          <w:sz w:val="24"/>
          <w:szCs w:val="24"/>
        </w:rPr>
        <w:t>Đọc kết</w:t>
      </w:r>
      <w:r w:rsidRPr="00FA254E">
        <w:rPr>
          <w:noProof/>
          <w:sz w:val="24"/>
          <w:szCs w:val="24"/>
        </w:rPr>
        <w:t xml:space="preserve"> quả phân tích mô hình và đề xuất một giải pháp, gợi ý trong việc ra quyết định tài chính.</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f</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lập mô hình tài chính</w:t>
            </w:r>
          </w:p>
          <w:p w:rsidRPr="00FA254E" w:rsidP="004D1122">
            <w:pPr>
              <w:spacing w:before="40" w:after="40"/>
              <w:rPr>
                <w:sz w:val="24"/>
                <w:szCs w:val="24"/>
              </w:rPr>
            </w:pPr>
            <w:r w:rsidRPr="00FA254E">
              <w:rPr>
                <w:noProof/>
                <w:sz w:val="24"/>
                <w:szCs w:val="24"/>
              </w:rPr>
              <w:t>+ Tổng quan về Lập mô hình tài chính</w:t>
            </w:r>
          </w:p>
          <w:p w:rsidRPr="00FA254E" w:rsidP="004D1122">
            <w:pPr>
              <w:spacing w:before="40" w:after="40"/>
              <w:rPr>
                <w:sz w:val="24"/>
                <w:szCs w:val="24"/>
              </w:rPr>
            </w:pPr>
            <w:r w:rsidRPr="00FA254E">
              <w:rPr>
                <w:noProof/>
                <w:sz w:val="24"/>
                <w:szCs w:val="24"/>
              </w:rPr>
              <w:t>+ Lập mô hình bảng tính.</w:t>
            </w:r>
          </w:p>
          <w:p w:rsidRPr="00FA254E" w:rsidP="004D1122">
            <w:pPr>
              <w:spacing w:before="40" w:after="40"/>
              <w:rPr>
                <w:sz w:val="24"/>
                <w:szCs w:val="24"/>
              </w:rPr>
            </w:pPr>
            <w:r w:rsidRPr="00FA254E">
              <w:rPr>
                <w:noProof/>
                <w:sz w:val="24"/>
                <w:szCs w:val="24"/>
              </w:rPr>
              <w:t>+ Mô hình công ty SP</w:t>
            </w:r>
          </w:p>
          <w:p w:rsidR="002655A9" w:rsidRPr="00FA254E" w:rsidP="004D1122">
            <w:pPr>
              <w:spacing w:before="40" w:after="40"/>
              <w:rPr>
                <w:color w:val="000000"/>
                <w:sz w:val="24"/>
                <w:szCs w:val="24"/>
              </w:rPr>
            </w:pPr>
            <w:r w:rsidRPr="00FA254E">
              <w:rPr>
                <w:noProof/>
                <w:sz w:val="24"/>
                <w:szCs w:val="24"/>
              </w:rPr>
              <w:t>+ Mô hình công ty 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r>
              <w:rPr>
                <w:noProof/>
                <w:sz w:val="24"/>
                <w:szCs w:val="24"/>
              </w:rPr>
              <w:t xml:space="preserve"> e, f</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r w:rsidRPr="00FA254E" w:rsidR="00066F56">
              <w:rPr>
                <w:noProof/>
                <w:sz w:val="24"/>
                <w:szCs w:val="24"/>
              </w:rPr>
              <w:t>4</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Mô hình</w:t>
            </w:r>
            <w:r w:rsidRPr="00FA254E">
              <w:rPr>
                <w:noProof/>
                <w:sz w:val="24"/>
                <w:szCs w:val="24"/>
              </w:rPr>
              <w:t xml:space="preserve"> tối ưu hóa tuyến tính </w:t>
            </w:r>
          </w:p>
          <w:p w:rsidRPr="00FA254E" w:rsidP="004D1122">
            <w:pPr>
              <w:spacing w:before="40" w:after="40"/>
              <w:rPr>
                <w:sz w:val="24"/>
                <w:szCs w:val="24"/>
              </w:rPr>
            </w:pPr>
            <w:r w:rsidRPr="00FA254E">
              <w:rPr>
                <w:noProof/>
                <w:sz w:val="24"/>
                <w:szCs w:val="24"/>
              </w:rPr>
              <w:t>+ Giới thiệu mô hình tối ưu</w:t>
            </w:r>
          </w:p>
          <w:p w:rsidRPr="00FA254E" w:rsidP="004D1122">
            <w:pPr>
              <w:spacing w:before="40" w:after="40"/>
              <w:rPr>
                <w:sz w:val="24"/>
                <w:szCs w:val="24"/>
              </w:rPr>
            </w:pPr>
            <w:r w:rsidRPr="00FA254E">
              <w:rPr>
                <w:noProof/>
                <w:sz w:val="24"/>
                <w:szCs w:val="24"/>
              </w:rPr>
              <w:t>+ Mô hình tối ưu hóa tuyến tính.</w:t>
            </w:r>
          </w:p>
          <w:p w:rsidRPr="00FA254E" w:rsidP="004D1122">
            <w:pPr>
              <w:spacing w:before="40" w:after="40"/>
              <w:rPr>
                <w:sz w:val="24"/>
                <w:szCs w:val="24"/>
              </w:rPr>
            </w:pPr>
            <w:r w:rsidRPr="00FA254E">
              <w:rPr>
                <w:noProof/>
                <w:sz w:val="24"/>
                <w:szCs w:val="24"/>
              </w:rPr>
              <w:t>+ Sử dụng solver cho bài toán tối ưu tuyến tính</w:t>
            </w:r>
          </w:p>
          <w:p w:rsidR="002655A9" w:rsidRPr="00FA254E" w:rsidP="004D1122">
            <w:pPr>
              <w:spacing w:before="40" w:after="40"/>
              <w:rPr>
                <w:color w:val="000000"/>
                <w:sz w:val="24"/>
                <w:szCs w:val="24"/>
              </w:rPr>
            </w:pPr>
            <w:r w:rsidRPr="00FA254E">
              <w:rPr>
                <w:noProof/>
                <w:sz w:val="24"/>
                <w:szCs w:val="24"/>
              </w:rPr>
              <w:t>+ Mô hình tuyến tính Công ty đồ gỗ 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e, f</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4</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Mô hình</w:t>
            </w:r>
            <w:r w:rsidRPr="00FA254E">
              <w:rPr>
                <w:noProof/>
                <w:sz w:val="24"/>
                <w:szCs w:val="24"/>
              </w:rPr>
              <w:t xml:space="preserve"> tối ưu hóa phi tuyến</w:t>
            </w:r>
          </w:p>
          <w:p w:rsidRPr="00FA254E" w:rsidP="004D1122">
            <w:pPr>
              <w:spacing w:before="40" w:after="40"/>
              <w:rPr>
                <w:sz w:val="24"/>
                <w:szCs w:val="24"/>
              </w:rPr>
            </w:pPr>
            <w:r w:rsidRPr="00FA254E">
              <w:rPr>
                <w:noProof/>
                <w:sz w:val="24"/>
                <w:szCs w:val="24"/>
              </w:rPr>
              <w:t>+ Giới thiệu Mô hình tối ưu hóa phi tuyến tính trong tài chính.</w:t>
            </w:r>
          </w:p>
          <w:p w:rsidRPr="00FA254E" w:rsidP="004D1122">
            <w:pPr>
              <w:spacing w:before="40" w:after="40"/>
              <w:rPr>
                <w:sz w:val="24"/>
                <w:szCs w:val="24"/>
              </w:rPr>
            </w:pPr>
            <w:r w:rsidRPr="00FA254E">
              <w:rPr>
                <w:noProof/>
                <w:sz w:val="24"/>
                <w:szCs w:val="24"/>
              </w:rPr>
              <w:t>+ Các tình huống tài chính trong điều kiện ràng buộc và có biến số</w:t>
            </w:r>
          </w:p>
          <w:p w:rsidR="002655A9" w:rsidRPr="00FA254E" w:rsidP="004D1122">
            <w:pPr>
              <w:spacing w:before="40" w:after="40"/>
              <w:rPr>
                <w:color w:val="000000"/>
                <w:sz w:val="24"/>
                <w:szCs w:val="24"/>
              </w:rPr>
            </w:pPr>
            <w:r w:rsidRPr="00FA254E">
              <w:rPr>
                <w:noProof/>
                <w:sz w:val="24"/>
                <w:szCs w:val="24"/>
              </w:rPr>
              <w:t>+ Bài toán hưu bổng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d, e, f</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4</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Mô hình</w:t>
            </w:r>
            <w:r w:rsidRPr="00FA254E">
              <w:rPr>
                <w:noProof/>
                <w:sz w:val="24"/>
                <w:szCs w:val="24"/>
              </w:rPr>
              <w:t xml:space="preserve"> quản lý danh mục đầu tư </w:t>
            </w:r>
          </w:p>
          <w:p w:rsidRPr="00FA254E" w:rsidP="004D1122">
            <w:pPr>
              <w:spacing w:before="40" w:after="40"/>
              <w:rPr>
                <w:sz w:val="24"/>
                <w:szCs w:val="24"/>
              </w:rPr>
            </w:pPr>
            <w:r w:rsidRPr="00FA254E">
              <w:rPr>
                <w:noProof/>
                <w:sz w:val="24"/>
                <w:szCs w:val="24"/>
              </w:rPr>
              <w:t>+ Giới thiệu các mô hình danh mục đầu tư chứng khoán</w:t>
            </w:r>
          </w:p>
          <w:p w:rsidRPr="00FA254E" w:rsidP="004D1122">
            <w:pPr>
              <w:spacing w:before="40" w:after="40"/>
              <w:rPr>
                <w:sz w:val="24"/>
                <w:szCs w:val="24"/>
              </w:rPr>
            </w:pPr>
            <w:r w:rsidRPr="00FA254E">
              <w:rPr>
                <w:noProof/>
                <w:sz w:val="24"/>
                <w:szCs w:val="24"/>
              </w:rPr>
              <w:t xml:space="preserve">+ Tính toán ma trận hiệp phương sai </w:t>
            </w:r>
          </w:p>
          <w:p w:rsidRPr="00FA254E" w:rsidP="004D1122">
            <w:pPr>
              <w:spacing w:before="40" w:after="40"/>
              <w:rPr>
                <w:sz w:val="24"/>
                <w:szCs w:val="24"/>
              </w:rPr>
            </w:pPr>
            <w:r w:rsidRPr="00FA254E">
              <w:rPr>
                <w:noProof/>
                <w:sz w:val="24"/>
                <w:szCs w:val="24"/>
              </w:rPr>
              <w:t xml:space="preserve">+ Tính toán danh mục đầu tư chứng khoán hiệu quả trong trường hợp có bán khống. </w:t>
            </w:r>
          </w:p>
          <w:p w:rsidR="002655A9" w:rsidRPr="00FA254E" w:rsidP="004D1122">
            <w:pPr>
              <w:spacing w:before="40" w:after="40"/>
              <w:rPr>
                <w:color w:val="000000"/>
                <w:sz w:val="24"/>
                <w:szCs w:val="24"/>
              </w:rPr>
            </w:pPr>
            <w:r w:rsidRPr="00FA254E">
              <w:rPr>
                <w:noProof/>
                <w:sz w:val="24"/>
                <w:szCs w:val="24"/>
              </w:rPr>
              <w:t>+ Mô hình danh mục đầu tư trong trường hợp không có bán khống.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 f</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8</w:t>
            </w: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d, e,</w:t>
            </w:r>
            <w:r>
              <w:rPr>
                <w:noProof/>
                <w:sz w:val="24"/>
                <w:szCs w:val="24"/>
              </w:rPr>
              <w:t xml:space="preserve"> f</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Nghiên cứu</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Giảng dạy</w:t>
            </w:r>
            <w:r w:rsidRPr="00FA254E">
              <w:rPr>
                <w:noProof/>
                <w:sz w:val="24"/>
                <w:szCs w:val="24"/>
              </w:rPr>
              <w:t xml:space="preserve"> thông qua thực hành</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 f</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p w:rsidRPr="00FA254E" w:rsidP="00BB1685">
            <w:pPr>
              <w:spacing w:before="40" w:after="40"/>
              <w:rPr>
                <w:sz w:val="24"/>
                <w:szCs w:val="24"/>
              </w:rPr>
            </w:pPr>
            <w:r w:rsidRPr="00FA254E">
              <w:rPr>
                <w:noProof/>
                <w:sz w:val="24"/>
                <w:szCs w:val="24"/>
              </w:rPr>
              <w:t>+ Chuyên cần</w:t>
            </w:r>
          </w:p>
          <w:p w:rsidRPr="00FA254E" w:rsidP="00BB1685">
            <w:pPr>
              <w:spacing w:before="40" w:after="40"/>
              <w:rPr>
                <w:sz w:val="24"/>
                <w:szCs w:val="24"/>
              </w:rPr>
            </w:pPr>
            <w:r w:rsidRPr="00FA254E">
              <w:rPr>
                <w:noProof/>
                <w:sz w:val="24"/>
                <w:szCs w:val="24"/>
              </w:rPr>
              <w:t>+ Bài tập cá nhân</w:t>
            </w:r>
          </w:p>
          <w:p w:rsidRPr="00FA254E" w:rsidP="00BB1685">
            <w:pPr>
              <w:spacing w:before="40" w:after="40"/>
              <w:rPr>
                <w:sz w:val="24"/>
                <w:szCs w:val="24"/>
              </w:rPr>
            </w:pPr>
            <w:r w:rsidRPr="00FA254E">
              <w:rPr>
                <w:noProof/>
                <w:sz w:val="24"/>
                <w:szCs w:val="24"/>
              </w:rPr>
              <w:t>+ Bài tập nhóm</w:t>
            </w:r>
          </w:p>
          <w:p w:rsidRPr="00FA254E" w:rsidP="00BB1685">
            <w:pPr>
              <w:spacing w:before="40" w:after="40"/>
              <w:rPr>
                <w:sz w:val="24"/>
                <w:szCs w:val="24"/>
              </w:rPr>
            </w:pPr>
            <w:r w:rsidRPr="00FA254E">
              <w:rPr>
                <w:noProof/>
                <w:sz w:val="24"/>
                <w:szCs w:val="24"/>
              </w:rPr>
              <w:t>+ Thái độ tích cực trong học tập</w:t>
            </w:r>
          </w:p>
          <w:p w:rsidRPr="00FA254E" w:rsidP="00BB1685">
            <w:pPr>
              <w:spacing w:before="40" w:after="40"/>
              <w:rPr>
                <w:sz w:val="24"/>
                <w:szCs w:val="24"/>
              </w:rPr>
            </w:pPr>
          </w:p>
          <w:p w:rsidR="00EF0C39" w:rsidRPr="00FA254E" w:rsidP="00BB1685">
            <w:pPr>
              <w:spacing w:before="40" w:after="40"/>
              <w:rPr>
                <w:color w:val="000000"/>
                <w:sz w:val="24"/>
                <w:szCs w:val="24"/>
              </w:rPr>
            </w:pP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 f</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 - trên máy</w:t>
            </w:r>
          </w:p>
          <w:p w:rsidR="00EF0C39" w:rsidRPr="00FA254E" w:rsidP="00BB1685">
            <w:pPr>
              <w:spacing w:before="40" w:after="40"/>
              <w:rPr>
                <w:color w:val="000000"/>
                <w:sz w:val="24"/>
                <w:szCs w:val="24"/>
              </w:rPr>
            </w:pPr>
            <w:r w:rsidRPr="00FA254E">
              <w:rPr>
                <w:noProof/>
                <w:sz w:val="24"/>
                <w:szCs w:val="24"/>
              </w:rPr>
              <w:t>Thi cuối kỳ - Bài tập lớn danh mục đầu tư  - Rubric</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 f</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Trần Ngọc</w:t>
            </w:r>
            <w:r w:rsidRPr="00FA254E">
              <w:rPr>
                <w:noProof/>
                <w:sz w:val="24"/>
                <w:szCs w:val="24"/>
              </w:rPr>
              <w:t xml:space="preserve"> Thơ &amp; Vũ Việt Quảng</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Lập mô</w:t>
            </w:r>
            <w:r w:rsidRPr="00FA254E">
              <w:rPr>
                <w:noProof/>
                <w:sz w:val="24"/>
                <w:szCs w:val="24"/>
              </w:rPr>
              <w:t xml:space="preserve"> hình tài chính</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2027</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Đại học</w:t>
            </w:r>
            <w:r w:rsidRPr="00FA254E">
              <w:rPr>
                <w:noProof/>
                <w:sz w:val="24"/>
                <w:szCs w:val="24"/>
              </w:rPr>
              <w:t xml:space="preserve"> Kinh tế TP Hồ Chí Minh</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Đại học Nha trang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Sergio M</w:t>
            </w:r>
            <w:r w:rsidRPr="00FA254E">
              <w:rPr>
                <w:noProof/>
                <w:sz w:val="24"/>
                <w:szCs w:val="24"/>
              </w:rPr>
              <w:t>. Focardi, Frank J. Fabozzi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The Mathematics</w:t>
            </w:r>
            <w:r w:rsidRPr="00FA254E">
              <w:rPr>
                <w:noProof/>
                <w:sz w:val="24"/>
                <w:szCs w:val="24"/>
              </w:rPr>
              <w:t xml:space="preserve"> of Financial Modeling and Investment Management</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2004</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John Wiley</w:t>
            </w:r>
            <w:r w:rsidRPr="00FA254E">
              <w:rPr>
                <w:noProof/>
                <w:sz w:val="24"/>
                <w:szCs w:val="24"/>
              </w:rPr>
              <w:t xml:space="preserve"> &amp; Sons Inc</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Giảng viên</w:t>
            </w:r>
            <w:r w:rsidRPr="00FA254E">
              <w:rPr>
                <w:noProof/>
                <w:sz w:val="24"/>
                <w:szCs w:val="24"/>
              </w:rPr>
              <w:t xml:space="preserve"> cung cấp</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Khắc</w:t>
            </w:r>
            <w:r w:rsidRPr="00FA254E">
              <w:rPr>
                <w:noProof/>
                <w:sz w:val="24"/>
                <w:szCs w:val="24"/>
              </w:rPr>
              <w:t xml:space="preserve"> Minh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Mô hình</w:t>
            </w:r>
            <w:r w:rsidRPr="00FA254E">
              <w:rPr>
                <w:noProof/>
                <w:sz w:val="24"/>
                <w:szCs w:val="24"/>
              </w:rPr>
              <w:t xml:space="preserve"> tài chính quốc tế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Khoa học</w:t>
            </w:r>
            <w:r w:rsidRPr="00FA254E">
              <w:rPr>
                <w:noProof/>
                <w:sz w:val="24"/>
                <w:szCs w:val="24"/>
              </w:rPr>
              <w:t xml:space="preserve"> và kỹ thuật</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Đỗ Thiên</w:t>
            </w:r>
            <w:r w:rsidRPr="00FA254E">
              <w:rPr>
                <w:noProof/>
                <w:sz w:val="24"/>
                <w:szCs w:val="24"/>
              </w:rPr>
              <w:t xml:space="preserve"> Anh Tuân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Định giá</w:t>
            </w:r>
            <w:r w:rsidRPr="00FA254E">
              <w:rPr>
                <w:noProof/>
                <w:sz w:val="24"/>
                <w:szCs w:val="24"/>
              </w:rPr>
              <w:t xml:space="preserve"> các lợi ích tài chính qua các hàm tài chính Excel</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http:/</w:t>
            </w:r>
            <w:r w:rsidRPr="00FA254E">
              <w:rPr>
                <w:noProof/>
                <w:sz w:val="24"/>
                <w:szCs w:val="24"/>
              </w:rPr>
              <w:t>/www.vinabook.com</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Văn</w:t>
      </w:r>
      <w:r>
        <w:rPr>
          <w:b/>
          <w:bCs/>
          <w:noProof/>
          <w:sz w:val="24"/>
          <w:szCs w:val="24"/>
        </w:rPr>
        <w:t xml:space="preserve"> Bảy</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